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4" w:rsidRPr="0044265E" w:rsidRDefault="00F25B34" w:rsidP="00F25B34">
      <w:pPr>
        <w:jc w:val="center"/>
        <w:rPr>
          <w:rFonts w:asciiTheme="majorHAnsi" w:hAnsiTheme="majorHAnsi"/>
          <w:color w:val="4F81BD" w:themeColor="accent1"/>
          <w:sz w:val="28"/>
          <w:szCs w:val="28"/>
        </w:rPr>
      </w:pPr>
      <w:r w:rsidRPr="0044265E">
        <w:rPr>
          <w:rFonts w:asciiTheme="majorHAnsi" w:hAnsiTheme="majorHAnsi"/>
          <w:b/>
          <w:color w:val="4F81BD" w:themeColor="accent1"/>
          <w:sz w:val="28"/>
          <w:szCs w:val="28"/>
          <w:u w:val="single"/>
        </w:rPr>
        <w:t>Automatic Refills</w:t>
      </w:r>
    </w:p>
    <w:p w:rsidR="00F25B34" w:rsidRPr="0044265E" w:rsidRDefault="00F25B34">
      <w:pPr>
        <w:rPr>
          <w:rFonts w:asciiTheme="majorHAnsi" w:hAnsiTheme="majorHAnsi"/>
          <w:b/>
          <w:sz w:val="24"/>
          <w:szCs w:val="24"/>
        </w:rPr>
      </w:pPr>
      <w:r w:rsidRPr="0044265E">
        <w:rPr>
          <w:rFonts w:asciiTheme="majorHAnsi" w:hAnsiTheme="majorHAnsi"/>
          <w:b/>
          <w:sz w:val="24"/>
          <w:szCs w:val="24"/>
        </w:rPr>
        <w:t>General Information:</w:t>
      </w:r>
    </w:p>
    <w:p w:rsidR="00F25B34" w:rsidRPr="0044265E" w:rsidRDefault="002404CE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 xml:space="preserve">Automatic refills are the easiest way to have prescriptions refilled by </w:t>
      </w:r>
      <w:r w:rsidR="00F25B34" w:rsidRPr="0044265E">
        <w:rPr>
          <w:rFonts w:asciiTheme="majorHAnsi" w:hAnsiTheme="majorHAnsi"/>
        </w:rPr>
        <w:t xml:space="preserve">a </w:t>
      </w:r>
      <w:r w:rsidRPr="0044265E">
        <w:rPr>
          <w:rFonts w:asciiTheme="majorHAnsi" w:hAnsiTheme="majorHAnsi"/>
        </w:rPr>
        <w:t xml:space="preserve">participating community pharmacy. </w:t>
      </w:r>
    </w:p>
    <w:p w:rsidR="006A133E" w:rsidRPr="0044265E" w:rsidRDefault="006A133E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 xml:space="preserve">This program works by first having the patient sign up (opt-in) and request </w:t>
      </w:r>
      <w:r w:rsidR="0044265E">
        <w:rPr>
          <w:rFonts w:asciiTheme="majorHAnsi" w:hAnsiTheme="majorHAnsi"/>
        </w:rPr>
        <w:t xml:space="preserve">the </w:t>
      </w:r>
      <w:r w:rsidRPr="0044265E">
        <w:rPr>
          <w:rFonts w:asciiTheme="majorHAnsi" w:hAnsiTheme="majorHAnsi"/>
        </w:rPr>
        <w:t xml:space="preserve">medications they want to be </w:t>
      </w:r>
      <w:r w:rsidR="0044265E">
        <w:rPr>
          <w:rFonts w:asciiTheme="majorHAnsi" w:hAnsiTheme="majorHAnsi"/>
        </w:rPr>
        <w:t>auto-refilled. They can select one</w:t>
      </w:r>
      <w:r w:rsidRPr="0044265E">
        <w:rPr>
          <w:rFonts w:asciiTheme="majorHAnsi" w:hAnsiTheme="majorHAnsi"/>
        </w:rPr>
        <w:t xml:space="preserve"> or all of their medications to be in this program. The pharmacy will then automatically fill the prescription approximately 1 </w:t>
      </w:r>
      <w:r w:rsidR="0044265E">
        <w:rPr>
          <w:rFonts w:asciiTheme="majorHAnsi" w:hAnsiTheme="majorHAnsi"/>
        </w:rPr>
        <w:t>week in advance of its due date.</w:t>
      </w:r>
      <w:r w:rsidRPr="0044265E">
        <w:rPr>
          <w:rFonts w:asciiTheme="majorHAnsi" w:hAnsiTheme="majorHAnsi"/>
        </w:rPr>
        <w:t xml:space="preserve"> </w:t>
      </w:r>
    </w:p>
    <w:p w:rsidR="00F25B34" w:rsidRPr="0044265E" w:rsidRDefault="002404CE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 xml:space="preserve">By enrolling in an automatic refill program, most pharmacies will call </w:t>
      </w:r>
      <w:r w:rsidR="00F25B34" w:rsidRPr="0044265E">
        <w:rPr>
          <w:rFonts w:asciiTheme="majorHAnsi" w:hAnsiTheme="majorHAnsi"/>
        </w:rPr>
        <w:t xml:space="preserve">the member </w:t>
      </w:r>
      <w:r w:rsidRPr="0044265E">
        <w:rPr>
          <w:rFonts w:asciiTheme="majorHAnsi" w:hAnsiTheme="majorHAnsi"/>
        </w:rPr>
        <w:t xml:space="preserve">when </w:t>
      </w:r>
      <w:r w:rsidR="00F25B34" w:rsidRPr="0044265E">
        <w:rPr>
          <w:rFonts w:asciiTheme="majorHAnsi" w:hAnsiTheme="majorHAnsi"/>
        </w:rPr>
        <w:t xml:space="preserve">their </w:t>
      </w:r>
      <w:r w:rsidRPr="0044265E">
        <w:rPr>
          <w:rFonts w:asciiTheme="majorHAnsi" w:hAnsiTheme="majorHAnsi"/>
        </w:rPr>
        <w:t xml:space="preserve">prescription is ready, </w:t>
      </w:r>
      <w:r w:rsidR="00F25B34" w:rsidRPr="0044265E">
        <w:rPr>
          <w:rFonts w:asciiTheme="majorHAnsi" w:hAnsiTheme="majorHAnsi"/>
        </w:rPr>
        <w:t>and they will offer to call the</w:t>
      </w:r>
      <w:r w:rsidRPr="0044265E">
        <w:rPr>
          <w:rFonts w:asciiTheme="majorHAnsi" w:hAnsiTheme="majorHAnsi"/>
        </w:rPr>
        <w:t xml:space="preserve"> doctor if </w:t>
      </w:r>
      <w:r w:rsidR="00F25B34" w:rsidRPr="0044265E">
        <w:rPr>
          <w:rFonts w:asciiTheme="majorHAnsi" w:hAnsiTheme="majorHAnsi"/>
        </w:rPr>
        <w:t>the medication is</w:t>
      </w:r>
      <w:r w:rsidRPr="0044265E">
        <w:rPr>
          <w:rFonts w:asciiTheme="majorHAnsi" w:hAnsiTheme="majorHAnsi"/>
        </w:rPr>
        <w:t xml:space="preserve"> out of refills</w:t>
      </w:r>
      <w:r w:rsidR="00F25B34" w:rsidRPr="0044265E">
        <w:rPr>
          <w:rFonts w:asciiTheme="majorHAnsi" w:hAnsiTheme="majorHAnsi"/>
        </w:rPr>
        <w:t xml:space="preserve"> to get a new script</w:t>
      </w:r>
      <w:r w:rsidRPr="0044265E">
        <w:rPr>
          <w:rFonts w:asciiTheme="majorHAnsi" w:hAnsiTheme="majorHAnsi"/>
        </w:rPr>
        <w:t xml:space="preserve">. </w:t>
      </w:r>
    </w:p>
    <w:p w:rsidR="0044265E" w:rsidRDefault="0053037A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 xml:space="preserve">Getting enrolled in automatic refills at your local community pharmacy is easy, convenient and can be completed in a variety of ways. </w:t>
      </w:r>
    </w:p>
    <w:p w:rsidR="00A938DB" w:rsidRPr="0044265E" w:rsidRDefault="00A938DB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>Please note that certain limitations do exist. Certain controlled substances or diabetes testing supplies covered by Medicare Part B are not eligible.</w:t>
      </w:r>
    </w:p>
    <w:p w:rsidR="006720ED" w:rsidRPr="0044265E" w:rsidRDefault="006720ED" w:rsidP="00F25B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44265E">
        <w:rPr>
          <w:rFonts w:asciiTheme="majorHAnsi" w:hAnsiTheme="majorHAnsi"/>
        </w:rPr>
        <w:t xml:space="preserve">Currently all major chains offer this service including but not limited to: </w:t>
      </w:r>
      <w:r w:rsidRPr="0044265E">
        <w:rPr>
          <w:rFonts w:asciiTheme="majorHAnsi" w:hAnsiTheme="majorHAnsi"/>
          <w:b/>
        </w:rPr>
        <w:t>Giant Eagle, Rite-Aid, Wal-Mart, Sam’s Club, Walgreens, CVS, Target, and Kmart</w:t>
      </w:r>
      <w:r w:rsidRPr="0044265E">
        <w:rPr>
          <w:rFonts w:asciiTheme="majorHAnsi" w:hAnsiTheme="majorHAnsi"/>
        </w:rPr>
        <w:t>.</w:t>
      </w:r>
    </w:p>
    <w:p w:rsidR="00F25B34" w:rsidRPr="0044265E" w:rsidRDefault="00F25B34" w:rsidP="00F25B34">
      <w:pPr>
        <w:rPr>
          <w:rFonts w:asciiTheme="majorHAnsi" w:hAnsiTheme="majorHAnsi"/>
          <w:b/>
          <w:sz w:val="24"/>
          <w:szCs w:val="24"/>
        </w:rPr>
      </w:pPr>
      <w:r w:rsidRPr="0044265E">
        <w:rPr>
          <w:rFonts w:asciiTheme="majorHAnsi" w:hAnsiTheme="majorHAnsi"/>
          <w:b/>
          <w:sz w:val="24"/>
          <w:szCs w:val="24"/>
        </w:rPr>
        <w:t>How to Enroll:</w:t>
      </w:r>
    </w:p>
    <w:p w:rsidR="00F25B34" w:rsidRPr="00E85964" w:rsidRDefault="00E85964" w:rsidP="00E8596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Pharmacies have different processes for enrollment.  There are 3 ways to enroll:</w:t>
      </w:r>
    </w:p>
    <w:p w:rsidR="0053037A" w:rsidRPr="0044265E" w:rsidRDefault="00F25B34" w:rsidP="00E8596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4265E">
        <w:rPr>
          <w:rFonts w:asciiTheme="majorHAnsi" w:hAnsiTheme="majorHAnsi"/>
          <w:b/>
          <w:i/>
        </w:rPr>
        <w:t>Verbal request</w:t>
      </w:r>
      <w:r w:rsidRPr="0044265E">
        <w:rPr>
          <w:rFonts w:asciiTheme="majorHAnsi" w:hAnsiTheme="majorHAnsi"/>
        </w:rPr>
        <w:t xml:space="preserve">: </w:t>
      </w:r>
      <w:r w:rsidR="00A938DB" w:rsidRPr="0044265E">
        <w:rPr>
          <w:rFonts w:asciiTheme="majorHAnsi" w:hAnsiTheme="majorHAnsi"/>
        </w:rPr>
        <w:t xml:space="preserve">Patients can either call </w:t>
      </w:r>
      <w:r w:rsidR="0044265E">
        <w:rPr>
          <w:rFonts w:asciiTheme="majorHAnsi" w:hAnsiTheme="majorHAnsi"/>
        </w:rPr>
        <w:t>or visit a participating pharmacy and ask to place</w:t>
      </w:r>
      <w:r w:rsidR="00E85964">
        <w:rPr>
          <w:rFonts w:asciiTheme="majorHAnsi" w:hAnsiTheme="majorHAnsi"/>
        </w:rPr>
        <w:t xml:space="preserve"> each of </w:t>
      </w:r>
      <w:r w:rsidR="0044265E">
        <w:rPr>
          <w:rFonts w:asciiTheme="majorHAnsi" w:hAnsiTheme="majorHAnsi"/>
        </w:rPr>
        <w:t>their</w:t>
      </w:r>
      <w:r w:rsidR="00E85964">
        <w:rPr>
          <w:rFonts w:asciiTheme="majorHAnsi" w:hAnsiTheme="majorHAnsi"/>
        </w:rPr>
        <w:t xml:space="preserve"> prescription(s) on auto-refill</w:t>
      </w:r>
      <w:r w:rsidR="0044265E">
        <w:rPr>
          <w:rFonts w:asciiTheme="majorHAnsi" w:hAnsiTheme="majorHAnsi"/>
        </w:rPr>
        <w:t>.  Patients will need to make this request every time a new prescription is presented at the pharmacy.</w:t>
      </w:r>
    </w:p>
    <w:p w:rsidR="002404CE" w:rsidRPr="0044265E" w:rsidRDefault="002404CE" w:rsidP="00E85964">
      <w:pPr>
        <w:pStyle w:val="ListParagraph"/>
        <w:spacing w:after="0"/>
        <w:ind w:left="1440"/>
        <w:rPr>
          <w:rFonts w:asciiTheme="majorHAnsi" w:hAnsiTheme="majorHAnsi"/>
        </w:rPr>
      </w:pPr>
    </w:p>
    <w:p w:rsidR="00E85964" w:rsidRDefault="00A938DB" w:rsidP="00E8596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E85964">
        <w:rPr>
          <w:rFonts w:asciiTheme="majorHAnsi" w:hAnsiTheme="majorHAnsi"/>
          <w:b/>
          <w:i/>
        </w:rPr>
        <w:t xml:space="preserve"> Form</w:t>
      </w:r>
      <w:r w:rsidR="00E85964" w:rsidRPr="00E85964">
        <w:rPr>
          <w:rFonts w:asciiTheme="majorHAnsi" w:hAnsiTheme="majorHAnsi"/>
          <w:b/>
          <w:i/>
        </w:rPr>
        <w:t xml:space="preserve"> request</w:t>
      </w:r>
      <w:r w:rsidRPr="00E85964">
        <w:rPr>
          <w:rFonts w:asciiTheme="majorHAnsi" w:hAnsiTheme="majorHAnsi"/>
        </w:rPr>
        <w:t xml:space="preserve">: </w:t>
      </w:r>
      <w:r w:rsidR="00E85964">
        <w:rPr>
          <w:rFonts w:asciiTheme="majorHAnsi" w:hAnsiTheme="majorHAnsi"/>
        </w:rPr>
        <w:t>Patients will</w:t>
      </w:r>
      <w:r w:rsidR="00E85964" w:rsidRPr="00E85964">
        <w:rPr>
          <w:rFonts w:asciiTheme="majorHAnsi" w:hAnsiTheme="majorHAnsi"/>
        </w:rPr>
        <w:t xml:space="preserve"> fill out a </w:t>
      </w:r>
      <w:r w:rsidR="00F25B34" w:rsidRPr="00E85964">
        <w:rPr>
          <w:rFonts w:asciiTheme="majorHAnsi" w:hAnsiTheme="majorHAnsi"/>
        </w:rPr>
        <w:t>form</w:t>
      </w:r>
      <w:r w:rsidR="00E85964" w:rsidRPr="00E85964">
        <w:rPr>
          <w:rFonts w:asciiTheme="majorHAnsi" w:hAnsiTheme="majorHAnsi"/>
        </w:rPr>
        <w:t xml:space="preserve"> and list each prescription to place on auto-refill. </w:t>
      </w:r>
      <w:r w:rsidR="00F25B34" w:rsidRPr="00E85964">
        <w:rPr>
          <w:rFonts w:asciiTheme="majorHAnsi" w:hAnsiTheme="majorHAnsi"/>
        </w:rPr>
        <w:t xml:space="preserve"> </w:t>
      </w:r>
      <w:r w:rsidR="00E85964" w:rsidRPr="00E85964">
        <w:rPr>
          <w:rFonts w:asciiTheme="majorHAnsi" w:hAnsiTheme="majorHAnsi"/>
        </w:rPr>
        <w:t>Patients will need to make this request every time a new prescription is presented at the pharmacy.</w:t>
      </w:r>
      <w:r w:rsidR="00E85964" w:rsidRPr="00E85964">
        <w:rPr>
          <w:rFonts w:asciiTheme="majorHAnsi" w:hAnsiTheme="majorHAnsi"/>
        </w:rPr>
        <w:t xml:space="preserve"> </w:t>
      </w:r>
    </w:p>
    <w:p w:rsidR="00E85964" w:rsidRPr="00E85964" w:rsidRDefault="00E85964" w:rsidP="00E85964">
      <w:pPr>
        <w:spacing w:after="0"/>
        <w:rPr>
          <w:rFonts w:asciiTheme="majorHAnsi" w:hAnsiTheme="majorHAnsi"/>
        </w:rPr>
      </w:pPr>
    </w:p>
    <w:p w:rsidR="000E3A5A" w:rsidRPr="00E85964" w:rsidRDefault="00A938DB" w:rsidP="00E85964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4265E">
        <w:rPr>
          <w:rFonts w:asciiTheme="majorHAnsi" w:hAnsiTheme="majorHAnsi"/>
          <w:b/>
          <w:i/>
        </w:rPr>
        <w:t>Online</w:t>
      </w:r>
      <w:r w:rsidR="00E85964">
        <w:rPr>
          <w:rFonts w:asciiTheme="majorHAnsi" w:hAnsiTheme="majorHAnsi"/>
          <w:b/>
          <w:i/>
        </w:rPr>
        <w:t xml:space="preserve"> request</w:t>
      </w:r>
      <w:r w:rsidRPr="0044265E">
        <w:rPr>
          <w:rFonts w:asciiTheme="majorHAnsi" w:hAnsiTheme="majorHAnsi"/>
          <w:b/>
          <w:i/>
        </w:rPr>
        <w:t>:</w:t>
      </w:r>
      <w:r w:rsidRPr="0044265E">
        <w:rPr>
          <w:rFonts w:asciiTheme="majorHAnsi" w:hAnsiTheme="majorHAnsi"/>
        </w:rPr>
        <w:t xml:space="preserve"> </w:t>
      </w:r>
      <w:r w:rsidR="00E85964">
        <w:rPr>
          <w:rFonts w:asciiTheme="majorHAnsi" w:hAnsiTheme="majorHAnsi"/>
        </w:rPr>
        <w:t xml:space="preserve">Patients will set up an online account at the pharmacy’s website and enroll in the auto-refill program. </w:t>
      </w:r>
    </w:p>
    <w:p w:rsidR="00965780" w:rsidRPr="0044265E" w:rsidRDefault="00965780" w:rsidP="00E85964">
      <w:pPr>
        <w:spacing w:after="0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p w:rsidR="00510C67" w:rsidRPr="00E85964" w:rsidRDefault="00510C67" w:rsidP="00510C67">
      <w:pPr>
        <w:rPr>
          <w:rFonts w:asciiTheme="majorHAnsi" w:hAnsiTheme="majorHAnsi"/>
          <w:b/>
          <w:sz w:val="24"/>
          <w:szCs w:val="24"/>
        </w:rPr>
      </w:pPr>
      <w:r w:rsidRPr="00E85964">
        <w:rPr>
          <w:rFonts w:asciiTheme="majorHAnsi" w:hAnsiTheme="majorHAnsi"/>
          <w:b/>
          <w:sz w:val="24"/>
          <w:szCs w:val="24"/>
        </w:rPr>
        <w:t xml:space="preserve">Participating Pharmacies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2340"/>
        <w:gridCol w:w="2340"/>
        <w:gridCol w:w="2520"/>
      </w:tblGrid>
      <w:tr w:rsidR="00E85964" w:rsidRPr="0044265E" w:rsidTr="00C47B65">
        <w:trPr>
          <w:trHeight w:val="1412"/>
        </w:trPr>
        <w:tc>
          <w:tcPr>
            <w:tcW w:w="2538" w:type="dxa"/>
            <w:shd w:val="clear" w:color="auto" w:fill="95B3D7" w:themeFill="accent1" w:themeFillTint="99"/>
          </w:tcPr>
          <w:p w:rsidR="00E85964" w:rsidRPr="0044265E" w:rsidRDefault="00E85964" w:rsidP="002404CE">
            <w:pPr>
              <w:rPr>
                <w:rFonts w:asciiTheme="majorHAnsi" w:hAnsiTheme="majorHAnsi"/>
                <w:b/>
              </w:rPr>
            </w:pPr>
            <w:r w:rsidRPr="0044265E">
              <w:rPr>
                <w:rFonts w:asciiTheme="majorHAnsi" w:hAnsiTheme="majorHAnsi"/>
                <w:b/>
              </w:rPr>
              <w:t>Pharmacy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E85964" w:rsidRPr="0044265E" w:rsidRDefault="00E85964" w:rsidP="002404CE">
            <w:pPr>
              <w:rPr>
                <w:rFonts w:asciiTheme="majorHAnsi" w:hAnsiTheme="majorHAnsi"/>
                <w:b/>
              </w:rPr>
            </w:pPr>
            <w:r w:rsidRPr="0044265E">
              <w:rPr>
                <w:rFonts w:asciiTheme="majorHAnsi" w:hAnsiTheme="majorHAnsi"/>
                <w:b/>
              </w:rPr>
              <w:t>Ask Pharmacy Staff to Enroll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E85964" w:rsidRPr="0044265E" w:rsidRDefault="00E85964" w:rsidP="002404CE">
            <w:pPr>
              <w:rPr>
                <w:rFonts w:asciiTheme="majorHAnsi" w:hAnsiTheme="majorHAnsi"/>
                <w:b/>
              </w:rPr>
            </w:pPr>
            <w:r w:rsidRPr="0044265E">
              <w:rPr>
                <w:rFonts w:asciiTheme="majorHAnsi" w:hAnsiTheme="majorHAnsi"/>
                <w:b/>
              </w:rPr>
              <w:t>Online Enrollment Available</w:t>
            </w:r>
          </w:p>
        </w:tc>
        <w:tc>
          <w:tcPr>
            <w:tcW w:w="2520" w:type="dxa"/>
            <w:shd w:val="clear" w:color="auto" w:fill="95B3D7" w:themeFill="accent1" w:themeFillTint="99"/>
          </w:tcPr>
          <w:p w:rsidR="00E85964" w:rsidRPr="0044265E" w:rsidRDefault="00E85964" w:rsidP="00E8596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Notification w</w:t>
            </w:r>
            <w:r w:rsidRPr="0044265E">
              <w:rPr>
                <w:rFonts w:asciiTheme="majorHAnsi" w:hAnsiTheme="majorHAnsi"/>
                <w:b/>
              </w:rPr>
              <w:t xml:space="preserve">hen </w:t>
            </w:r>
            <w:r>
              <w:rPr>
                <w:rFonts w:asciiTheme="majorHAnsi" w:hAnsiTheme="majorHAnsi"/>
                <w:b/>
              </w:rPr>
              <w:t>Rx  is ready for pick-up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D9D9D9" w:themeFill="background1" w:themeFillShade="D9"/>
          </w:tcPr>
          <w:p w:rsidR="00E85964" w:rsidRPr="0044265E" w:rsidRDefault="00C47B65" w:rsidP="00C47B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Giant Eagle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85964" w:rsidRPr="0044265E" w:rsidRDefault="00E85964" w:rsidP="00D06183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auto"/>
          </w:tcPr>
          <w:p w:rsidR="00E85964" w:rsidRPr="0044265E" w:rsidRDefault="00E85964" w:rsidP="00C47B6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Wal-Mart /</w:t>
            </w:r>
            <w:r w:rsidRPr="0044265E">
              <w:rPr>
                <w:rFonts w:asciiTheme="majorHAnsi" w:hAnsiTheme="majorHAnsi"/>
                <w:b/>
              </w:rPr>
              <w:t xml:space="preserve">Sam’s Club 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D9D9D9" w:themeFill="background1" w:themeFillShade="D9"/>
          </w:tcPr>
          <w:p w:rsidR="00E85964" w:rsidRPr="0044265E" w:rsidRDefault="00C47B65" w:rsidP="002404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Rite-Aid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auto"/>
          </w:tcPr>
          <w:p w:rsidR="00E85964" w:rsidRPr="0044265E" w:rsidRDefault="00C47B65" w:rsidP="002404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D9D9D9" w:themeFill="background1" w:themeFillShade="D9"/>
          </w:tcPr>
          <w:p w:rsidR="00E85964" w:rsidRPr="0044265E" w:rsidRDefault="00C47B65" w:rsidP="002404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Kmart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  <w:tr w:rsidR="00E85964" w:rsidRPr="0044265E" w:rsidTr="00C47B65">
        <w:tc>
          <w:tcPr>
            <w:tcW w:w="2538" w:type="dxa"/>
            <w:shd w:val="clear" w:color="auto" w:fill="auto"/>
          </w:tcPr>
          <w:p w:rsidR="00E85964" w:rsidRPr="0044265E" w:rsidRDefault="00C47B65" w:rsidP="002404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CVS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 xml:space="preserve">Yes </w:t>
            </w:r>
          </w:p>
        </w:tc>
        <w:tc>
          <w:tcPr>
            <w:tcW w:w="234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 xml:space="preserve">Yes </w:t>
            </w:r>
          </w:p>
        </w:tc>
        <w:tc>
          <w:tcPr>
            <w:tcW w:w="2520" w:type="dxa"/>
          </w:tcPr>
          <w:p w:rsidR="00E85964" w:rsidRPr="0044265E" w:rsidRDefault="00E85964" w:rsidP="002404CE">
            <w:pPr>
              <w:rPr>
                <w:rFonts w:asciiTheme="majorHAnsi" w:hAnsiTheme="majorHAnsi"/>
              </w:rPr>
            </w:pPr>
            <w:r w:rsidRPr="0044265E">
              <w:rPr>
                <w:rFonts w:asciiTheme="majorHAnsi" w:hAnsiTheme="majorHAnsi"/>
              </w:rPr>
              <w:t>Yes</w:t>
            </w:r>
          </w:p>
        </w:tc>
      </w:tr>
    </w:tbl>
    <w:p w:rsidR="009652B2" w:rsidRPr="0044265E" w:rsidRDefault="009652B2" w:rsidP="003A7C75">
      <w:pPr>
        <w:rPr>
          <w:rFonts w:asciiTheme="majorHAnsi" w:hAnsiTheme="majorHAnsi"/>
        </w:rPr>
      </w:pPr>
    </w:p>
    <w:sectPr w:rsidR="009652B2" w:rsidRPr="0044265E" w:rsidSect="00E6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846"/>
    <w:multiLevelType w:val="hybridMultilevel"/>
    <w:tmpl w:val="83CC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68C0"/>
    <w:multiLevelType w:val="hybridMultilevel"/>
    <w:tmpl w:val="9D88DDA6"/>
    <w:lvl w:ilvl="0" w:tplc="EE84C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2A81"/>
    <w:multiLevelType w:val="hybridMultilevel"/>
    <w:tmpl w:val="CABAE990"/>
    <w:lvl w:ilvl="0" w:tplc="E78A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E1949"/>
    <w:multiLevelType w:val="hybridMultilevel"/>
    <w:tmpl w:val="0348303A"/>
    <w:lvl w:ilvl="0" w:tplc="FAE25E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94EE0"/>
    <w:multiLevelType w:val="hybridMultilevel"/>
    <w:tmpl w:val="406A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014"/>
    <w:multiLevelType w:val="hybridMultilevel"/>
    <w:tmpl w:val="2A8A56B6"/>
    <w:lvl w:ilvl="0" w:tplc="AE7C674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3175E3"/>
    <w:multiLevelType w:val="hybridMultilevel"/>
    <w:tmpl w:val="B6EE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70E4D"/>
    <w:multiLevelType w:val="hybridMultilevel"/>
    <w:tmpl w:val="BAAC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58"/>
    <w:rsid w:val="000E3A5A"/>
    <w:rsid w:val="00184FC1"/>
    <w:rsid w:val="00233DED"/>
    <w:rsid w:val="002404CE"/>
    <w:rsid w:val="002749F6"/>
    <w:rsid w:val="003320F1"/>
    <w:rsid w:val="003A7C75"/>
    <w:rsid w:val="0044265E"/>
    <w:rsid w:val="00510C67"/>
    <w:rsid w:val="0053037A"/>
    <w:rsid w:val="005442E0"/>
    <w:rsid w:val="005C2205"/>
    <w:rsid w:val="00633922"/>
    <w:rsid w:val="006665E0"/>
    <w:rsid w:val="00667ED4"/>
    <w:rsid w:val="006720ED"/>
    <w:rsid w:val="006A133E"/>
    <w:rsid w:val="006E3C03"/>
    <w:rsid w:val="00935485"/>
    <w:rsid w:val="00962B58"/>
    <w:rsid w:val="00962BC5"/>
    <w:rsid w:val="009652B2"/>
    <w:rsid w:val="00965780"/>
    <w:rsid w:val="009974CE"/>
    <w:rsid w:val="009D40C3"/>
    <w:rsid w:val="00A16942"/>
    <w:rsid w:val="00A668ED"/>
    <w:rsid w:val="00A938DB"/>
    <w:rsid w:val="00B958F7"/>
    <w:rsid w:val="00C05127"/>
    <w:rsid w:val="00C47B65"/>
    <w:rsid w:val="00D06183"/>
    <w:rsid w:val="00E34615"/>
    <w:rsid w:val="00E6246F"/>
    <w:rsid w:val="00E85964"/>
    <w:rsid w:val="00F1123B"/>
    <w:rsid w:val="00F131DB"/>
    <w:rsid w:val="00F25B34"/>
    <w:rsid w:val="00F95E7B"/>
    <w:rsid w:val="00FC31EA"/>
    <w:rsid w:val="00FC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37A"/>
    <w:pPr>
      <w:ind w:left="720"/>
      <w:contextualSpacing/>
    </w:pPr>
  </w:style>
  <w:style w:type="table" w:styleId="TableGrid">
    <w:name w:val="Table Grid"/>
    <w:basedOn w:val="TableNormal"/>
    <w:uiPriority w:val="59"/>
    <w:rsid w:val="00D061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037A"/>
    <w:pPr>
      <w:ind w:left="720"/>
      <w:contextualSpacing/>
    </w:pPr>
  </w:style>
  <w:style w:type="table" w:styleId="TableGrid">
    <w:name w:val="Table Grid"/>
    <w:basedOn w:val="TableNormal"/>
    <w:uiPriority w:val="59"/>
    <w:rsid w:val="00D0618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72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0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0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771B293EC3148B1CDBE508AE9DD24" ma:contentTypeVersion="17" ma:contentTypeDescription="Create a new document." ma:contentTypeScope="" ma:versionID="5d6d8875337b14d757b6b9accccd809e">
  <xsd:schema xmlns:xsd="http://www.w3.org/2001/XMLSchema" xmlns:p="http://schemas.microsoft.com/office/2006/metadata/properties" xmlns:ns2="4beb6a96-a1f6-451b-9da8-8c3f238940f0" targetNamespace="http://schemas.microsoft.com/office/2006/metadata/properties" ma:root="true" ma:fieldsID="66d5c5774e9a5fc951a81c88d103a423" ns2:_="">
    <xsd:import namespace="4beb6a96-a1f6-451b-9da8-8c3f238940f0"/>
    <xsd:element name="properties">
      <xsd:complexType>
        <xsd:sequence>
          <xsd:element name="documentManagement">
            <xsd:complexType>
              <xsd:all>
                <xsd:element ref="ns2:Contact_x0020_Name" minOccurs="0"/>
                <xsd:element ref="ns2:Contact_x0020_Email" minOccurs="0"/>
                <xsd:element ref="ns2:Type_x0020_of_x0020_Contract" minOccurs="0"/>
                <xsd:element ref="ns2:PO_x0020_Needed" minOccurs="0"/>
                <xsd:element ref="ns2:PO_x0020_Number" minOccurs="0"/>
                <xsd:element ref="ns2:PO_x0020_Amount" minOccurs="0"/>
                <xsd:element ref="ns2:Contract_x0020_Amount" minOccurs="0"/>
                <xsd:element ref="ns2:Begin_x0020_Date" minOccurs="0"/>
                <xsd:element ref="ns2:End_x0020_Date" minOccurs="0"/>
                <xsd:element ref="ns2:Grant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eb6a96-a1f6-451b-9da8-8c3f238940f0" elementFormDefault="qualified">
    <xsd:import namespace="http://schemas.microsoft.com/office/2006/documentManagement/types"/>
    <xsd:element name="Contact_x0020_Name" ma:index="2" nillable="true" ma:displayName="Contact Name" ma:internalName="Contact_x0020_Name">
      <xsd:simpleType>
        <xsd:restriction base="dms:Text">
          <xsd:maxLength value="255"/>
        </xsd:restriction>
      </xsd:simpleType>
    </xsd:element>
    <xsd:element name="Contact_x0020_Email" ma:index="3" nillable="true" ma:displayName="Contact Email" ma:internalName="Contact_x0020_Email">
      <xsd:simpleType>
        <xsd:restriction base="dms:Text">
          <xsd:maxLength value="255"/>
        </xsd:restriction>
      </xsd:simpleType>
    </xsd:element>
    <xsd:element name="Type_x0020_of_x0020_Contract" ma:index="4" nillable="true" ma:displayName="Type of Contract" ma:default="Subcontract" ma:format="Dropdown" ma:internalName="Type_x0020_of_x0020_Contract">
      <xsd:simpleType>
        <xsd:restriction base="dms:Choice">
          <xsd:enumeration value="Subcontract"/>
          <xsd:enumeration value="Consultant"/>
        </xsd:restriction>
      </xsd:simpleType>
    </xsd:element>
    <xsd:element name="PO_x0020_Needed" ma:index="5" nillable="true" ma:displayName="PO Needed" ma:default="Yes" ma:format="Dropdown" ma:internalName="PO_x0020_Needed">
      <xsd:simpleType>
        <xsd:restriction base="dms:Choice">
          <xsd:enumeration value="Yes"/>
          <xsd:enumeration value="No"/>
          <xsd:enumeration value="eVoucher"/>
        </xsd:restriction>
      </xsd:simpleType>
    </xsd:element>
    <xsd:element name="PO_x0020_Number" ma:index="6" nillable="true" ma:displayName="PO Number" ma:internalName="PO_x0020_Number">
      <xsd:simpleType>
        <xsd:restriction base="dms:Text">
          <xsd:maxLength value="255"/>
        </xsd:restriction>
      </xsd:simpleType>
    </xsd:element>
    <xsd:element name="PO_x0020_Amount" ma:index="7" nillable="true" ma:displayName="PO Amount" ma:decimals="2" ma:LCID="1033" ma:internalName="PO_x0020_Amount">
      <xsd:simpleType>
        <xsd:restriction base="dms:Currency"/>
      </xsd:simpleType>
    </xsd:element>
    <xsd:element name="Contract_x0020_Amount" ma:index="8" nillable="true" ma:displayName="Contract Amount" ma:decimals="2" ma:LCID="1033" ma:internalName="Contract_x0020_Amount">
      <xsd:simpleType>
        <xsd:restriction base="dms:Currency"/>
      </xsd:simpleType>
    </xsd:element>
    <xsd:element name="Begin_x0020_Date" ma:index="9" nillable="true" ma:displayName="Begin Date" ma:format="DateOnly" ma:internalName="Begin_x0020_Date">
      <xsd:simpleType>
        <xsd:restriction base="dms:DateTime"/>
      </xsd:simpleType>
    </xsd:element>
    <xsd:element name="End_x0020_Date" ma:index="10" nillable="true" ma:displayName="End Date" ma:format="DateOnly" ma:internalName="End_x0020_Date">
      <xsd:simpleType>
        <xsd:restriction base="dms:DateTime"/>
      </xsd:simpleType>
    </xsd:element>
    <xsd:element name="Grant_x0020_Year" ma:index="17" nillable="true" ma:displayName="Grant Year" ma:default="Year 1" ma:format="Dropdown" ma:internalName="Grant_x0020_Year">
      <xsd:simpleType>
        <xsd:restriction base="dms:Choice">
          <xsd:enumeration value="Year 1"/>
          <xsd:enumeration value="Year 2"/>
          <xsd:enumeration value="Yea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ntract_x0020_Amount xmlns="4beb6a96-a1f6-451b-9da8-8c3f238940f0" xsi:nil="true"/>
    <Grant_x0020_Year xmlns="4beb6a96-a1f6-451b-9da8-8c3f238940f0">Year 1</Grant_x0020_Year>
    <Type_x0020_of_x0020_Contract xmlns="4beb6a96-a1f6-451b-9da8-8c3f238940f0">Subcontract</Type_x0020_of_x0020_Contract>
    <PO_x0020_Number xmlns="4beb6a96-a1f6-451b-9da8-8c3f238940f0" xsi:nil="true"/>
    <Begin_x0020_Date xmlns="4beb6a96-a1f6-451b-9da8-8c3f238940f0" xsi:nil="true"/>
    <PO_x0020_Amount xmlns="4beb6a96-a1f6-451b-9da8-8c3f238940f0" xsi:nil="true"/>
    <End_x0020_Date xmlns="4beb6a96-a1f6-451b-9da8-8c3f238940f0" xsi:nil="true"/>
    <Contact_x0020_Email xmlns="4beb6a96-a1f6-451b-9da8-8c3f238940f0" xsi:nil="true"/>
    <Contact_x0020_Name xmlns="4beb6a96-a1f6-451b-9da8-8c3f238940f0" xsi:nil="true"/>
    <PO_x0020_Needed xmlns="4beb6a96-a1f6-451b-9da8-8c3f238940f0">Yes</PO_x0020_Needed>
  </documentManagement>
</p:properties>
</file>

<file path=customXml/itemProps1.xml><?xml version="1.0" encoding="utf-8"?>
<ds:datastoreItem xmlns:ds="http://schemas.openxmlformats.org/officeDocument/2006/customXml" ds:itemID="{E59B8DF9-7A53-4C61-8ED7-2DFEDA9A5019}"/>
</file>

<file path=customXml/itemProps2.xml><?xml version="1.0" encoding="utf-8"?>
<ds:datastoreItem xmlns:ds="http://schemas.openxmlformats.org/officeDocument/2006/customXml" ds:itemID="{77E0E3DA-9310-450C-B884-BA5347490CB3}"/>
</file>

<file path=customXml/itemProps3.xml><?xml version="1.0" encoding="utf-8"?>
<ds:datastoreItem xmlns:ds="http://schemas.openxmlformats.org/officeDocument/2006/customXml" ds:itemID="{0F431B9D-0AA6-47DC-BBEC-212AA5EA2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diehljl</dc:creator>
  <cp:keywords/>
  <dc:description/>
  <cp:lastModifiedBy>halgasm</cp:lastModifiedBy>
  <cp:revision>2</cp:revision>
  <cp:lastPrinted>2012-02-21T21:03:00Z</cp:lastPrinted>
  <dcterms:created xsi:type="dcterms:W3CDTF">2013-04-16T00:25:00Z</dcterms:created>
  <dcterms:modified xsi:type="dcterms:W3CDTF">2013-04-16T00:25:00Z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0x010100413771B293EC3148B1CDBE508AE9DD24</vt:lpwstr>
  </property>
</Properties>
</file>